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rupture-conventionnelle-individuelle"/>
    <w:p>
      <w:pPr>
        <w:pStyle w:val="Heading1"/>
      </w:pPr>
      <w:r>
        <w:t xml:space="preserve">Rupture conventionnelle individuelle</w:t>
      </w:r>
    </w:p>
    <w:bookmarkEnd w:id="9"/>
    <w:p>
      <w:pPr>
        <w:pStyle w:val="FirstParagraph"/>
      </w:pPr>
      <w:r>
        <w:t xml:space="preserve">Date :</w:t>
      </w:r>
      <w:r>
        <w:t xml:space="preserve"> </w:t>
      </w:r>
      <w:r>
        <w:t xml:space="preserve">15/09/2018</w:t>
      </w:r>
    </w:p>
    <w:p>
      <w:pPr>
        <w:pStyle w:val="BodyText"/>
      </w:pPr>
      <w:r>
        <w:t xml:space="preserve">Rupture conventionnelle individuelle</w:t>
      </w:r>
    </w:p>
    <w:p>
      <w:pPr>
        <w:pStyle w:val="BodyText"/>
      </w:pPr>
      <w:r>
        <w:br/>
      </w:r>
    </w:p>
    <w:p>
      <w:pPr>
        <w:pStyle w:val="BodyText"/>
      </w:pPr>
      <w:r>
        <w:t xml:space="preserve">L’employeur et le salarié peuvent, d’un commun accord, mettre fin au contrat de travail par le biais d’une rupture conventionnelle individuelle homologuée par le directeur régional des entreprises, de la concurrence, de la consommation, du travail et de l'emploi (DIRECCTE). Plusieurs étapes sont nécessaires pour formaliser cette rupture : entretiens entre l’employeur et le salarié pour s’accorder sur les modalités de la rupture, conclusion puis homologation d’une convention.</w:t>
      </w:r>
    </w:p>
    <w:p>
      <w:pPr>
        <w:pStyle w:val="BodyText"/>
        <w:keepNext/>
        <w:outlineLvl w:val="1"/>
      </w:pPr>
      <w:r>
        <w:rPr>
          <w:b/>
          <w:bCs/>
        </w:rPr>
        <w:t xml:space="preserve">Convention de rupture du contrat de travail</w:t>
      </w:r>
      <w:r>
        <w:t xml:space="preserve"> </w:t>
      </w:r>
      <w:hyperlink w:anchor="fn1">
        <w:r>
          <w:rPr>
            <w:rStyle w:val="Hyperlink"/>
          </w:rPr>
          <w:t xml:space="preserve">[1]</w:t>
        </w:r>
      </w:hyperlink>
    </w:p>
    <w:p>
      <w:pPr>
        <w:pStyle w:val="BodyText"/>
        <w:keepNext/>
        <w:outlineLvl w:val="2"/>
      </w:pPr>
      <w:r>
        <w:rPr>
          <w:b/>
          <w:bCs/>
        </w:rPr>
        <w:t xml:space="preserve">I.</w:t>
      </w:r>
      <w:r>
        <w:t xml:space="preserve"> </w:t>
      </w:r>
      <w:r>
        <w:t xml:space="preserve">Une convention de rupture est conclue entre les soussignés :</w:t>
      </w:r>
    </w:p>
    <w:p>
      <w:pPr>
        <w:pStyle w:val="BodyText"/>
      </w:pPr>
      <w:r>
        <w:t xml:space="preserve">La société</w:t>
      </w:r>
      <w:r>
        <w:t xml:space="preserve">…</w:t>
      </w:r>
      <w:r>
        <w:t xml:space="preserve">, dont le siège social est situé à</w:t>
      </w:r>
      <w:r>
        <w:t xml:space="preserve">…</w:t>
      </w:r>
      <w:r>
        <w:t xml:space="preserve">, représentée par</w:t>
      </w:r>
      <w:r>
        <w:t xml:space="preserve">…</w:t>
      </w:r>
      <w:r>
        <w:t xml:space="preserve">, en sa qualité de</w:t>
      </w:r>
      <w:r>
        <w:t xml:space="preserve">…</w:t>
      </w:r>
    </w:p>
    <w:p>
      <w:pPr>
        <w:pStyle w:val="BodyText"/>
      </w:pPr>
      <w:r>
        <w:t xml:space="preserve">et M.</w:t>
      </w:r>
      <w:r>
        <w:t xml:space="preserve">…</w:t>
      </w:r>
      <w:r>
        <w:t xml:space="preserve">, demeurant au</w:t>
      </w:r>
      <w:r>
        <w:t xml:space="preserve">…</w:t>
      </w:r>
    </w:p>
    <w:p>
      <w:pPr>
        <w:pStyle w:val="BodyText"/>
        <w:keepNext/>
        <w:outlineLvl w:val="2"/>
      </w:pPr>
      <w:r>
        <w:rPr>
          <w:b/>
          <w:bCs/>
        </w:rPr>
        <w:t xml:space="preserve">II.</w:t>
      </w:r>
      <w:r>
        <w:t xml:space="preserve"> </w:t>
      </w:r>
      <w:r>
        <w:t xml:space="preserve">Il est rappelé que M.</w:t>
      </w:r>
      <w:r>
        <w:t xml:space="preserve">…</w:t>
      </w:r>
      <w:r>
        <w:t xml:space="preserve">était employé par la société</w:t>
      </w:r>
      <w:r>
        <w:t xml:space="preserve">…</w:t>
      </w:r>
      <w:r>
        <w:t xml:space="preserve">, en qualité de</w:t>
      </w:r>
      <w:r>
        <w:t xml:space="preserve"> </w:t>
      </w:r>
      <w:r>
        <w:t xml:space="preserve">…</w:t>
      </w:r>
      <w:r>
        <w:t xml:space="preserve">, dans le cadre d'un contrat de travail à durée indéterminée.</w:t>
      </w:r>
      <w:r>
        <w:t xml:space="preserve"> </w:t>
      </w:r>
      <w:hyperlink w:anchor="fn2">
        <w:r>
          <w:rPr>
            <w:rStyle w:val="Hyperlink"/>
          </w:rPr>
          <w:t xml:space="preserve">[2]</w:t>
        </w:r>
      </w:hyperlink>
    </w:p>
    <w:p>
      <w:pPr>
        <w:pStyle w:val="BodyText"/>
        <w:numPr>
          <w:ilvl w:val="0"/>
          <w:numId w:val="9001"/>
        </w:numPr>
      </w:pPr>
      <w:r>
        <w:t xml:space="preserve">Salarié non protégé :</w:t>
      </w:r>
    </w:p>
    <w:p>
      <w:pPr>
        <w:pStyle w:val="BodyText"/>
      </w:pPr>
      <w:r>
        <w:t xml:space="preserve">Pour des raisons de convenances personnelles, les parties ont décidé d'un commun accord de mettre un terme au contrat de travail qui les liait par une rupture conventionnelle soumise à homologation du directeur régional des entreprises, de la concurrence, de la consommation, du travail et de l’emploi.</w:t>
      </w:r>
    </w:p>
    <w:p>
      <w:pPr>
        <w:pStyle w:val="BodyText"/>
        <w:numPr>
          <w:ilvl w:val="0"/>
          <w:numId w:val="9001"/>
        </w:numPr>
      </w:pPr>
      <w:r>
        <w:t xml:space="preserve">Salarié protégé :</w:t>
      </w:r>
    </w:p>
    <w:p>
      <w:pPr>
        <w:pStyle w:val="BodyText"/>
      </w:pPr>
      <w:r>
        <w:t xml:space="preserve">M.</w:t>
      </w:r>
      <w:r>
        <w:t xml:space="preserve">…</w:t>
      </w:r>
      <w:r>
        <w:t xml:space="preserve">est investi des fonctions représentatives suivantes  :</w:t>
      </w:r>
      <w:r>
        <w:t xml:space="preserve"> </w:t>
      </w:r>
      <w:r>
        <w:t xml:space="preserve">…</w:t>
      </w:r>
      <w:r>
        <w:br/>
      </w:r>
      <w:r>
        <w:t xml:space="preserve">Pour des raisons de convenances personnelles, les parties ont décidé d'un commun accord de mettre un terme au contrat de travail qui les liait par une rupture conventionnelle soumise à autorisation de l'inspecteur du travail.</w:t>
      </w:r>
    </w:p>
    <w:p>
      <w:pPr>
        <w:pStyle w:val="BodyText"/>
        <w:keepNext/>
        <w:outlineLvl w:val="2"/>
      </w:pPr>
      <w:r>
        <w:rPr>
          <w:b/>
          <w:bCs/>
        </w:rPr>
        <w:t xml:space="preserve">III.</w:t>
      </w:r>
      <w:r>
        <w:t xml:space="preserve"> </w:t>
      </w:r>
      <w:r>
        <w:t xml:space="preserve">La société</w:t>
      </w:r>
      <w:r>
        <w:t xml:space="preserve">…</w:t>
      </w:r>
      <w:r>
        <w:t xml:space="preserve">a informé M.</w:t>
      </w:r>
      <w:r>
        <w:t xml:space="preserve">…</w:t>
      </w:r>
      <w:r>
        <w:t xml:space="preserve">de :</w:t>
      </w:r>
      <w:hyperlink w:anchor="fn3">
        <w:r>
          <w:rPr>
            <w:rStyle w:val="Hyperlink"/>
          </w:rPr>
          <w:t xml:space="preserve">[3]</w:t>
        </w:r>
      </w:hyperlink>
    </w:p>
    <w:p>
      <w:pPr>
        <w:pStyle w:val="BodyText"/>
        <w:numPr>
          <w:ilvl w:val="0"/>
          <w:numId w:val="9001"/>
        </w:numPr>
      </w:pPr>
      <w:r>
        <w:t xml:space="preserve">En présence de représentants du personnel dans l’entreprise :</w:t>
      </w:r>
    </w:p>
    <w:p>
      <w:pPr>
        <w:pStyle w:val="BodyText"/>
      </w:pPr>
      <w:r>
        <w:rPr>
          <w:b/>
          <w:bCs/>
        </w:rPr>
        <w:t xml:space="preserve">1.</w:t>
      </w:r>
      <w:r>
        <w:t xml:space="preserve"> </w:t>
      </w:r>
      <w:r>
        <w:t xml:space="preserve">Son droit de se faire assister, lors du ou des entretiens préalables à l'établissement de la convention, par une personne de son choix appartenant au personnel de l'entreprise.</w:t>
      </w:r>
    </w:p>
    <w:p>
      <w:pPr>
        <w:pStyle w:val="BodyText"/>
        <w:numPr>
          <w:ilvl w:val="0"/>
          <w:numId w:val="9001"/>
        </w:numPr>
      </w:pPr>
      <w:r>
        <w:t xml:space="preserve">En l'absence de représentants du personnel dans l’entreprise :</w:t>
      </w:r>
    </w:p>
    <w:p>
      <w:pPr>
        <w:pStyle w:val="BodyText"/>
      </w:pPr>
      <w:r>
        <w:rPr>
          <w:b/>
          <w:bCs/>
        </w:rPr>
        <w:t xml:space="preserve">1.</w:t>
      </w:r>
      <w:r>
        <w:t xml:space="preserve"> </w:t>
      </w:r>
      <w:r>
        <w:t xml:space="preserve">Son droit de se faire assister, lors du ou des entretiens préalables à l'établissement de la convention, par une personne de son choix appartenant au personnel de l'entreprise ou par un conseiller choisi sur la liste dressée par le préfet ;</w:t>
      </w:r>
    </w:p>
    <w:p>
      <w:pPr>
        <w:pStyle w:val="BodyText"/>
      </w:pPr>
      <w:r>
        <w:rPr>
          <w:b/>
          <w:bCs/>
        </w:rPr>
        <w:t xml:space="preserve">2.</w:t>
      </w:r>
      <w:r>
        <w:t xml:space="preserve"> </w:t>
      </w:r>
      <w:r>
        <w:t xml:space="preserve">Sa faculté de contacter les services, tel le service public de l'emploi, susceptibles de l'aider à prendre la décision de conclure la présente convention en pleine connaissance de ses droits.</w:t>
      </w:r>
      <w:r>
        <w:t xml:space="preserve"> </w:t>
      </w:r>
      <w:hyperlink w:anchor="fn4">
        <w:r>
          <w:rPr>
            <w:rStyle w:val="Hyperlink"/>
          </w:rPr>
          <w:t xml:space="preserve">[4]</w:t>
        </w:r>
      </w:hyperlink>
    </w:p>
    <w:p>
      <w:pPr>
        <w:pStyle w:val="BodyText"/>
        <w:numPr>
          <w:ilvl w:val="0"/>
          <w:numId w:val="9001"/>
        </w:numPr>
      </w:pPr>
      <w:r>
        <w:t xml:space="preserve">Si contexte de difficultés économiques :</w:t>
      </w:r>
    </w:p>
    <w:p>
      <w:pPr>
        <w:pStyle w:val="BodyText"/>
      </w:pPr>
      <w:r>
        <w:rPr>
          <w:b/>
          <w:bCs/>
        </w:rPr>
        <w:t xml:space="preserve">3.</w:t>
      </w:r>
      <w:r>
        <w:t xml:space="preserve"> </w:t>
      </w:r>
      <w:r>
        <w:t xml:space="preserve">Tous les avantages qui résulteraient d’un plan de sauvegarde de l’emploi ou d’un plan de départ volontaire. Celui-ci a donc accepté, en connaissance de cause, de conclure une rupture conventionnelle.</w:t>
      </w:r>
      <w:hyperlink w:anchor="fn5">
        <w:r>
          <w:rPr>
            <w:rStyle w:val="Hyperlink"/>
          </w:rPr>
          <w:t xml:space="preserve">[5]</w:t>
        </w:r>
      </w:hyperlink>
    </w:p>
    <w:p>
      <w:pPr>
        <w:pStyle w:val="BodyText"/>
        <w:keepNext/>
        <w:outlineLvl w:val="2"/>
      </w:pPr>
      <w:r>
        <w:rPr>
          <w:b/>
          <w:bCs/>
        </w:rPr>
        <w:t xml:space="preserve">IV.</w:t>
      </w:r>
      <w:r>
        <w:t xml:space="preserve"> </w:t>
      </w:r>
      <w:r>
        <w:t xml:space="preserve">Après négociation et suite</w:t>
      </w:r>
      <w:r>
        <w:t xml:space="preserve"> </w:t>
      </w:r>
      <w:r>
        <w:t xml:space="preserve">[</w:t>
      </w:r>
      <w:r>
        <w:t xml:space="preserve">•  à l'entretien du</w:t>
      </w:r>
      <w:r>
        <w:t xml:space="preserve">…</w:t>
      </w:r>
      <w:r>
        <w:t xml:space="preserve"> </w:t>
      </w:r>
      <w:r>
        <w:t xml:space="preserve">ou</w:t>
      </w:r>
      <w:r>
        <w:t xml:space="preserve"> </w:t>
      </w:r>
      <w:r>
        <w:t xml:space="preserve">•  aux entretiens du</w:t>
      </w:r>
      <w:r>
        <w:t xml:space="preserve">…</w:t>
      </w:r>
      <w:r>
        <w:t xml:space="preserve">et du</w:t>
      </w:r>
      <w:r>
        <w:t xml:space="preserve"> </w:t>
      </w:r>
      <w:r>
        <w:t xml:space="preserve">…</w:t>
      </w:r>
      <w:r>
        <w:t xml:space="preserve">]</w:t>
      </w:r>
      <w:r>
        <w:t xml:space="preserve">les soussignés ont convenu :</w:t>
      </w:r>
    </w:p>
    <w:p>
      <w:pPr>
        <w:pStyle w:val="BodyText"/>
      </w:pPr>
      <w:r>
        <w:rPr>
          <w:b/>
          <w:bCs/>
        </w:rPr>
        <w:t xml:space="preserve">1.</w:t>
      </w:r>
      <w:r>
        <w:t xml:space="preserve"> </w:t>
      </w:r>
      <w:r>
        <w:t xml:space="preserve">de rompre le contrat d'un commun accord à compter du</w:t>
      </w:r>
      <w:r>
        <w:t xml:space="preserve">…</w:t>
      </w:r>
      <w:r>
        <w:t xml:space="preserve"> </w:t>
      </w:r>
      <w:hyperlink w:anchor="fn6">
        <w:r>
          <w:rPr>
            <w:rStyle w:val="Hyperlink"/>
          </w:rPr>
          <w:t xml:space="preserve">[6]</w:t>
        </w:r>
      </w:hyperlink>
      <w:r>
        <w:t xml:space="preserve"> </w:t>
      </w:r>
      <w:r>
        <w:t xml:space="preserve">[</w:t>
      </w:r>
      <w:r>
        <w:t xml:space="preserve">•  après un préavis de</w:t>
      </w:r>
      <w:r>
        <w:t xml:space="preserve">…</w:t>
      </w:r>
      <w:r>
        <w:t xml:space="preserve"> </w:t>
      </w:r>
      <w:r>
        <w:t xml:space="preserve">ou</w:t>
      </w:r>
      <w:r>
        <w:t xml:space="preserve"> </w:t>
      </w:r>
      <w:r>
        <w:t xml:space="preserve">•  sans effectuer de préavis, le salarié reconnaissant, par conséquent, ne pouvoir prétendre à aucune indemnité compensatrice de préavis</w:t>
      </w:r>
      <w:r>
        <w:t xml:space="preserve">]</w:t>
      </w:r>
      <w:r>
        <w:t xml:space="preserve">date à laquelle M.</w:t>
      </w:r>
      <w:r>
        <w:t xml:space="preserve">…</w:t>
      </w:r>
      <w:r>
        <w:t xml:space="preserve">cessera de faire partie de l'effectif de l'entreprise ;</w:t>
      </w:r>
    </w:p>
    <w:p>
      <w:pPr>
        <w:pStyle w:val="BodyText"/>
      </w:pPr>
      <w:r>
        <w:rPr>
          <w:b/>
          <w:bCs/>
        </w:rPr>
        <w:t xml:space="preserve">2.</w:t>
      </w:r>
      <w:r>
        <w:t xml:space="preserve"> </w:t>
      </w:r>
      <w:r>
        <w:t xml:space="preserve">que M.</w:t>
      </w:r>
      <w:r>
        <w:t xml:space="preserve">…</w:t>
      </w:r>
      <w:r>
        <w:t xml:space="preserve">percevra la somme brute de</w:t>
      </w:r>
      <w:r>
        <w:t xml:space="preserve">…</w:t>
      </w:r>
      <w:r>
        <w:t xml:space="preserve">(écrire aussi la somme en toutes lettres)</w:t>
      </w:r>
      <w:r>
        <w:t xml:space="preserve"> </w:t>
      </w:r>
      <w:r>
        <w:t xml:space="preserve"> </w:t>
      </w:r>
      <w:r>
        <w:t xml:space="preserve">€, correspondant au solde des salaires et à l'indemnité compensatrice de congés payés acquise à cette date.</w:t>
      </w:r>
    </w:p>
    <w:p>
      <w:pPr>
        <w:pStyle w:val="BodyText"/>
        <w:numPr>
          <w:ilvl w:val="0"/>
          <w:numId w:val="9001"/>
        </w:numPr>
      </w:pPr>
      <w:r>
        <w:t xml:space="preserve">En présence d’une clause de non-concurrence</w:t>
      </w:r>
      <w:hyperlink w:anchor="fn7">
        <w:r>
          <w:rPr>
            <w:rStyle w:val="Hyperlink"/>
          </w:rPr>
          <w:t xml:space="preserve">[7]</w:t>
        </w:r>
      </w:hyperlink>
      <w:r>
        <w:t xml:space="preserve"> :</w:t>
      </w:r>
    </w:p>
    <w:p>
      <w:pPr>
        <w:pStyle w:val="BodyText"/>
      </w:pPr>
      <w:r>
        <w:t xml:space="preserve">Cette somme prend aussi en compte l'indemnité de non-concurrence stipulée dans</w:t>
      </w:r>
      <w:r>
        <w:t xml:space="preserve">[</w:t>
      </w:r>
      <w:r>
        <w:t xml:space="preserve">•  le contrat de travail</w:t>
      </w:r>
      <w:r>
        <w:t xml:space="preserve"> </w:t>
      </w:r>
      <w:r>
        <w:t xml:space="preserve">ou</w:t>
      </w:r>
      <w:r>
        <w:t xml:space="preserve"> </w:t>
      </w:r>
      <w:r>
        <w:t xml:space="preserve">•  la convention collective</w:t>
      </w:r>
      <w:r>
        <w:t xml:space="preserve">]</w:t>
      </w:r>
    </w:p>
    <w:p>
      <w:pPr>
        <w:pStyle w:val="BodyText"/>
      </w:pPr>
      <w:r>
        <w:rPr>
          <w:b/>
          <w:bCs/>
        </w:rPr>
        <w:t xml:space="preserve">3.</w:t>
      </w:r>
      <w:r>
        <w:t xml:space="preserve"> </w:t>
      </w:r>
      <w:r>
        <w:t xml:space="preserve">que la société</w:t>
      </w:r>
      <w:r>
        <w:t xml:space="preserve">…</w:t>
      </w:r>
      <w:r>
        <w:t xml:space="preserve">versera à M.</w:t>
      </w:r>
      <w:r>
        <w:t xml:space="preserve">…</w:t>
      </w:r>
      <w:r>
        <w:t xml:space="preserve">la somme brute de</w:t>
      </w:r>
      <w:r>
        <w:t xml:space="preserve">…</w:t>
      </w:r>
      <w:r>
        <w:t xml:space="preserve">(écrire aussi la somme en toutes lettres)</w:t>
      </w:r>
      <w:r>
        <w:t xml:space="preserve"> </w:t>
      </w:r>
      <w:r>
        <w:t xml:space="preserve"> </w:t>
      </w:r>
      <w:r>
        <w:t xml:space="preserve">€ correspondant à une indemnité spécifique de rupture conventionnelle.</w:t>
      </w:r>
      <w:r>
        <w:t xml:space="preserve"> </w:t>
      </w:r>
      <w:hyperlink w:anchor="fn8">
        <w:r>
          <w:rPr>
            <w:rStyle w:val="Hyperlink"/>
          </w:rPr>
          <w:t xml:space="preserve">[8]</w:t>
        </w:r>
      </w:hyperlink>
    </w:p>
    <w:p>
      <w:pPr>
        <w:pStyle w:val="BodyText"/>
        <w:keepNext/>
        <w:outlineLvl w:val="2"/>
      </w:pPr>
      <w:r>
        <w:rPr>
          <w:b/>
          <w:bCs/>
        </w:rPr>
        <w:t xml:space="preserve">V.</w:t>
      </w:r>
      <w:r>
        <w:t xml:space="preserve"> </w:t>
      </w:r>
      <w:r>
        <w:t xml:space="preserve">Il est rappelé qu'à compter du lendemain de la signature de la présente convention, les parties disposent chacune de 15 jours calendaires pour se rétracter.</w:t>
      </w:r>
    </w:p>
    <w:p>
      <w:pPr>
        <w:pStyle w:val="BodyText"/>
      </w:pPr>
      <w:r>
        <w:t xml:space="preserve">La partie qui use de ce droit devra en informer l'autre partie par courrier recommandé avec accusé de réception ou par lettre remise en main propre contre décharge.</w:t>
      </w:r>
      <w:r>
        <w:t xml:space="preserve"> </w:t>
      </w:r>
      <w:hyperlink w:anchor="fn9">
        <w:r>
          <w:rPr>
            <w:rStyle w:val="Hyperlink"/>
          </w:rPr>
          <w:t xml:space="preserve">[9]</w:t>
        </w:r>
      </w:hyperlink>
      <w:r>
        <w:t xml:space="preserve">.</w:t>
      </w:r>
    </w:p>
    <w:p>
      <w:pPr>
        <w:pStyle w:val="BodyText"/>
        <w:numPr>
          <w:ilvl w:val="0"/>
          <w:numId w:val="9001"/>
        </w:numPr>
      </w:pPr>
      <w:r>
        <w:t xml:space="preserve">Salarié non protégé :</w:t>
      </w:r>
    </w:p>
    <w:p>
      <w:pPr>
        <w:pStyle w:val="BodyText"/>
      </w:pPr>
      <w:r>
        <w:t xml:space="preserve">À l'issue de ce délai, une demande d'homologation sera adressée au directeur régional des entreprises, de la concurrence, de la consommation, du travail et de l’emploi</w:t>
      </w:r>
      <w:r>
        <w:t xml:space="preserve"> </w:t>
      </w:r>
      <w:r>
        <w:t xml:space="preserve">[</w:t>
      </w:r>
      <w:r>
        <w:t xml:space="preserve">•  par la partie la plus diligente</w:t>
      </w:r>
      <w:r>
        <w:t xml:space="preserve"> </w:t>
      </w:r>
      <w:r>
        <w:t xml:space="preserve">ou</w:t>
      </w:r>
      <w:r>
        <w:t xml:space="preserve"> </w:t>
      </w:r>
      <w:r>
        <w:t xml:space="preserve">•  par l'employeur</w:t>
      </w:r>
      <w:r>
        <w:t xml:space="preserve">]</w:t>
      </w:r>
      <w:r>
        <w:t xml:space="preserve">en vertu des articles L. 1237-14 et R. 1237-3 du code du travail</w:t>
      </w:r>
      <w:hyperlink w:anchor="fn10">
        <w:r>
          <w:rPr>
            <w:rStyle w:val="Hyperlink"/>
          </w:rPr>
          <w:t xml:space="preserve">[10]</w:t>
        </w:r>
      </w:hyperlink>
      <w:r>
        <w:t xml:space="preserve">.</w:t>
      </w:r>
    </w:p>
    <w:p>
      <w:pPr>
        <w:pStyle w:val="BodyText"/>
        <w:numPr>
          <w:ilvl w:val="0"/>
          <w:numId w:val="9001"/>
        </w:numPr>
      </w:pPr>
      <w:r>
        <w:t xml:space="preserve">Salarié protégé :</w:t>
      </w:r>
    </w:p>
    <w:p>
      <w:pPr>
        <w:pStyle w:val="BodyText"/>
      </w:pPr>
      <w:r>
        <w:t xml:space="preserve">À l'issue de ce délai, une demande d'autorisation sera adressée à l'inspecteur du travail par l'employeur en vertu de l'article L. 1237-15 du code du travail.</w:t>
      </w:r>
    </w:p>
    <w:p>
      <w:pPr>
        <w:pStyle w:val="BodyText"/>
        <w:keepNext/>
        <w:outlineLvl w:val="2"/>
      </w:pPr>
      <w:r>
        <w:rPr>
          <w:b/>
          <w:bCs/>
        </w:rPr>
        <w:t xml:space="preserve">VI.</w:t>
      </w:r>
      <w:r>
        <w:t xml:space="preserve"> </w:t>
      </w:r>
      <w:r>
        <w:t xml:space="preserve">M.</w:t>
      </w:r>
      <w:r>
        <w:t xml:space="preserve">…</w:t>
      </w:r>
      <w:r>
        <w:t xml:space="preserve">a été informé que ce mode de rupture lui donne droit à indemnisation au titre de l'assurance chômage, s'il remplit les conditions requises.</w:t>
      </w:r>
    </w:p>
    <w:p>
      <w:pPr>
        <w:pStyle w:val="BodyText"/>
      </w:pPr>
      <w:r>
        <w:t xml:space="preserve">Fait en deux exemplaires,</w:t>
      </w:r>
      <w:r>
        <w:t xml:space="preserve"> </w:t>
      </w:r>
      <w:hyperlink w:anchor="fn11">
        <w:r>
          <w:rPr>
            <w:rStyle w:val="Hyperlink"/>
          </w:rPr>
          <w:t xml:space="preserve">[11]</w:t>
        </w:r>
      </w:hyperlink>
      <w:r>
        <w:t xml:space="preserve">le</w:t>
      </w:r>
      <w:r>
        <w:t xml:space="preserve">…</w:t>
      </w:r>
      <w:r>
        <w:t xml:space="preserve">à</w:t>
      </w:r>
      <w:r>
        <w:t xml:space="preserve">…</w:t>
      </w:r>
    </w:p>
    <w:p>
      <w:pPr>
        <w:pStyle w:val="BodyText"/>
      </w:pPr>
      <w:r>
        <w:br/>
      </w:r>
    </w:p>
    <w:tbl>
      <w:tblPr>
        <w:tblStyle w:val="Table"/>
        <w:tblW w:type="pct" w:w="5000"/>
        <w:tblLayout w:type="fixed"/>
        <w:tblLook w:firstRow="0" w:lastRow="0" w:firstColumn="0" w:lastColumn="0" w:noHBand="0" w:noVBand="0" w:val="0000"/>
      </w:tblPr>
      <w:tblGrid>
        <w:gridCol w:w="3960"/>
        <w:gridCol w:w="3960"/>
      </w:tblGrid>
      <w:tr>
        <w:tc>
          <w:tcPr/>
          <w:p>
            <w:pPr>
              <w:jc w:val="center"/>
            </w:pPr>
            <w:r>
              <w:t xml:space="preserve">Signature de l'employeur</w:t>
            </w:r>
          </w:p>
        </w:tc>
        <w:tc>
          <w:tcPr/>
          <w:p>
            <w:pPr>
              <w:jc w:val="center"/>
            </w:pPr>
            <w:r>
              <w:t xml:space="preserve">Signature du salarié</w:t>
            </w:r>
            <w:r>
              <w:br/>
            </w:r>
            <w:r>
              <w:rPr>
                <w:i/>
                <w:iCs/>
              </w:rPr>
              <w:t xml:space="preserve">(précédée de la mention manuscrite « Lu et approuvé »)</w:t>
            </w:r>
          </w:p>
        </w:tc>
      </w:tr>
    </w:tbl>
    <w:p>
      <w:pPr>
        <w:numPr>
          <w:ilvl w:val="0"/>
          <w:numId w:val="1001"/>
        </w:numPr>
      </w:pPr>
      <w:bookmarkStart w:id="10" w:name="fn1"/>
      <w:r>
        <w:t xml:space="preserve">[1]</w:t>
      </w:r>
      <w:bookmarkEnd w:id="10"/>
      <w:r>
        <w:t xml:space="preserve"> </w:t>
      </w:r>
      <w:r>
        <w:t xml:space="preserve">La rupture de la relation de travail doit se faire d'un commun accord (c. trav. art. L. 1237-11), sachant que l'employeur peut être à l'origine de la proposition de conclure une rupture conventionnelle individuelle (cass. soc. 15 janvier 2014, n° 12-23942, BC V n° 19).</w:t>
      </w:r>
      <w:r>
        <w:br/>
      </w:r>
      <w:r>
        <w:t xml:space="preserve">Une rupture conventionnelle peut être conclue dans un contexte conflictuel, à condition, toutefois, que la conclusion de la convention ne soit pas imposée par l'une ou l'autre des parties (cass. soc. 23 mai 2013, n° 12-13865, BC V n° 128; cass. soc. 3 juillet 2013, n° 12-19268, BC V n° 178; cass. soc. 15 janvier 2014, n° 12-23942, BC V n° 19). Ainsi, une rupture conventionnelle conclue sur fond de contrainte du salarié qui avait reçu plusieurs lettres d'avertissement et une convocation à un entretien préalable à son licenciement avec mise à pied conservatoire après l'échec d'une première proposition de rupture conventionnelle par son employeur a été annulée (cass. soc. 16 septembre 2015, n° 14-13830, BC V n° 123).</w:t>
      </w:r>
      <w:r>
        <w:br/>
      </w:r>
      <w:r>
        <w:t xml:space="preserve">Par ailleurs, aucune clause de renonciation à tout recours ne peut être insérée dans la convention de rupture, faute de quoi elle serait réputée non écrite, sans pour autant remettre en cause la validité de la convention elle-même (cass. soc. 26 juin 2013, n° 12-15208, BC V n° 167).</w:t>
      </w:r>
      <w:r>
        <w:br/>
      </w:r>
      <w:r>
        <w:t xml:space="preserve">La rupture conventionnelle se matérialise par la signature d'une convention homologuée par le DIRECCTE ou, pour les salariés protégés, autorisée par l'inspecteur du travail (c. trav. art. L. 1237-12 à L. 1237-16 et R. 1237-3). Pour plus de détails, voir Dictionnaire RF Social, « Rupture conventionnelle ».</w:t>
      </w:r>
      <w:r>
        <w:br/>
      </w:r>
    </w:p>
    <w:p>
      <w:pPr>
        <w:numPr>
          <w:ilvl w:val="0"/>
          <w:numId w:val="1000"/>
        </w:numPr>
      </w:pPr>
      <w:r>
        <w:rPr>
          <w:b/>
          <w:bCs/>
        </w:rPr>
        <w:t xml:space="preserve">Attention. -</w:t>
      </w:r>
      <w:r>
        <w:t xml:space="preserve"> </w:t>
      </w:r>
      <w:r>
        <w:t xml:space="preserve">Le formulaire de demande d'homologation contient la convention de rupture dans sa 3</w:t>
      </w:r>
      <w:r>
        <w:rPr>
          <w:vertAlign w:val="superscript"/>
        </w:rPr>
        <w:t xml:space="preserve">e</w:t>
      </w:r>
      <w:r>
        <w:t xml:space="preserve"> </w:t>
      </w:r>
      <w:r>
        <w:t xml:space="preserve">partie. Aucun document supplémentaire n'est donc obligatoire pour valider la demande. Néanmoins, un formulaire accompagné d'une convention de rupture portant l'identité ainsi que les signatures de l'employeur et du salarié est recevable comme demande d'homologation d'une rupture conventionnelle (circ. DGT 2009-4 du 17 mars 2009). L'employeur et le salarié peuvent donc, s'ils le souhaitent, joindre au formulaire une convention de rupture rédigée à part.</w:t>
      </w:r>
    </w:p>
    <w:p>
      <w:pPr>
        <w:pStyle w:val="Compact"/>
        <w:numPr>
          <w:ilvl w:val="0"/>
          <w:numId w:val="1001"/>
        </w:numPr>
      </w:pPr>
      <w:bookmarkStart w:id="11" w:name="fn2"/>
      <w:r>
        <w:t xml:space="preserve">[2]</w:t>
      </w:r>
      <w:bookmarkEnd w:id="11"/>
      <w:r>
        <w:t xml:space="preserve"> </w:t>
      </w:r>
      <w:r>
        <w:t xml:space="preserve">La rupture conventionnelle individuelle concerne uniquement les contrats de travail à durée indéterminée (circ. DGT 2008-11 du 22 juillet 2008).</w:t>
      </w:r>
    </w:p>
    <w:p>
      <w:pPr>
        <w:pStyle w:val="Compact"/>
        <w:numPr>
          <w:ilvl w:val="0"/>
          <w:numId w:val="1001"/>
        </w:numPr>
      </w:pPr>
      <w:bookmarkStart w:id="12" w:name="fn3"/>
      <w:r>
        <w:t xml:space="preserve">[3]</w:t>
      </w:r>
      <w:bookmarkEnd w:id="12"/>
      <w:r>
        <w:t xml:space="preserve"> </w:t>
      </w:r>
      <w:r>
        <w:t xml:space="preserve">L'employeur et le salarié conviennent du principe de la rupture pendant un ou plusieurs entretiens au cours desquels le salarié peut choisir de se faire assister. Dans ce cas, il en informe l'employeur, qui pourra alors aussi décider d'être assisté (c. trav. art. L. 1237-12).</w:t>
      </w:r>
      <w:r>
        <w:br/>
      </w:r>
      <w:r>
        <w:t xml:space="preserve">Aucune forme particulière n’est exigée concernant la convocation du salarié aux entretiens et leur tenue, ou la manière dont le salarié est avisé qu’il a le droit de se faire assister pendant ces entretiens. L’administration a relevé que la tenue des entretiens devait être organisée de bonne foi, ce qui impose à l’employeur d’informer le salarié de la date et du lieu de l’entretien, ainsi que de la possibilité de se faire assister (circ. DGT 2012-7 du 30 juillet 2012, fiche n° 14, § 2.1). Pour autant, le défaut d’information du salarié d’une entreprise ne disposant pas d’institution représentative du personnel sur la possibilité de se faire assister, lors des entretiens, par un conseiller choisi sur une liste dressée par l’autorité administrative n'a pas pour effet d'entraîner la nullité de la convention de rupture (cass. soc. 29 janvier 2014, n° 12-27594, BC V n° 39).</w:t>
      </w:r>
      <w:r>
        <w:br/>
      </w:r>
      <w:r>
        <w:t xml:space="preserve">À notre sens, il est préférable que l’employeur informe par écrit le salarié de ses droits, notamment à assistance, et de la manière dont l’ensemble de la procédure va se dérouler. Il conserve ainsi la preuve, en cas de litige, que le consentement du salarié n’a pas été vicié. Voir modèle</w:t>
      </w:r>
      <w:r>
        <w:t xml:space="preserve"> </w:t>
      </w:r>
      <w:hyperlink r:id="rId13">
        <w:r>
          <w:rPr>
            <w:rStyle w:val="Hyperlink"/>
          </w:rPr>
          <w:t xml:space="preserve">- Invitation du salarié à un entretien relatif à la rupture conventionnelle</w:t>
        </w:r>
      </w:hyperlink>
      <w:r>
        <w:t xml:space="preserve">.</w:t>
      </w:r>
      <w:r>
        <w:br/>
      </w:r>
      <w:r>
        <w:t xml:space="preserve">Une rupture conventionnelle peut être signée dès l’entretien au cours duquel cette rupture est négociée. Les textes applicables n’instaurent pas de délai entre l’entretien et la signature de la convention (cass. soc. 3 juillet 2013, n° 12-19268, BC V n° 178 ; cass. soc. 19 novembre 2014, n° 13-21979 D).</w:t>
      </w:r>
    </w:p>
    <w:p>
      <w:pPr>
        <w:pStyle w:val="Compact"/>
        <w:numPr>
          <w:ilvl w:val="0"/>
          <w:numId w:val="1001"/>
        </w:numPr>
      </w:pPr>
      <w:bookmarkStart w:id="14" w:name="fn4"/>
      <w:r>
        <w:t xml:space="preserve">[4]</w:t>
      </w:r>
      <w:bookmarkEnd w:id="14"/>
      <w:r>
        <w:t xml:space="preserve"> </w:t>
      </w:r>
      <w:r>
        <w:t xml:space="preserve">Le salarié doit être informé qu'il peut, au cours de la discussion qui précède la signature de la convention, recueillir les informations et avis nécessaires à sa décision (circ. DGT 2008-11 du 22 juillet 2008). Pour autant, lorsque l’absence d’information sur la possibilité de prendre contact avec le service public de l'emploi n'a pas affecté la liberté de consentement du salarié, la convention de rupture est valide (cass. soc. 29 janvier 2014, n° 12-25951, BC V n° 38).</w:t>
      </w:r>
    </w:p>
    <w:p>
      <w:pPr>
        <w:pStyle w:val="Compact"/>
        <w:numPr>
          <w:ilvl w:val="0"/>
          <w:numId w:val="1001"/>
        </w:numPr>
      </w:pPr>
      <w:bookmarkStart w:id="15" w:name="fn5"/>
      <w:r>
        <w:t xml:space="preserve">[5]</w:t>
      </w:r>
      <w:bookmarkEnd w:id="15"/>
      <w:r>
        <w:t xml:space="preserve"> </w:t>
      </w:r>
      <w:r>
        <w:t xml:space="preserve">Il n’est pas interdit de conclure une rupture conventionnelle dans un contexte économique difficile, même si l’employeur doit veiller à ne pas contourner les règles du licenciement économique collectif et donc, éventuellement, priver les salariés des garanties attachées aux accords de GPEC et aux plans de sauvegarde de l’emploi (rép. Braillard n° 29982, JO 3 septembre2013, AN quest. p. 9339). Il est donc préférable d’informer le salarié des garanties dont il bénéficierait en cas de licenciement économique pour qu’il puisse, en toute connaissance de cause, opter pour une rupture conventionnelle (rép. Eckert n° 106030, JO 31 mai 2011, AN quest. p. 3891).</w:t>
      </w:r>
    </w:p>
    <w:p>
      <w:pPr>
        <w:numPr>
          <w:ilvl w:val="0"/>
          <w:numId w:val="1001"/>
        </w:numPr>
      </w:pPr>
      <w:bookmarkStart w:id="16" w:name="fn6"/>
      <w:r>
        <w:t xml:space="preserve">[6]</w:t>
      </w:r>
      <w:bookmarkEnd w:id="16"/>
      <w:r>
        <w:t xml:space="preserve"> </w:t>
      </w:r>
      <w:r>
        <w:t xml:space="preserve">La rupture du contrat ne peut pas intervenir avant le lendemain du jour de l'homologation ou, en cas de silence du DIRECCTE, après écoulement du délai de 15 jours ouvrables suivant la réception par lui de la demande d'homologation (c. trav. art. L. 1237-13 ; circ. DGT 2008-11 du 22 juillet 2008). Pour les salariés protégés, la rupture du contrat ne peut pas intervenir avant le lendemain du jour de l'autorisation, le silence de l'inspecteur du travail valant rejet de la demande au bout de 2 mois.</w:t>
      </w:r>
      <w:r>
        <w:br/>
      </w:r>
    </w:p>
    <w:p>
      <w:pPr>
        <w:numPr>
          <w:ilvl w:val="0"/>
          <w:numId w:val="1000"/>
        </w:numPr>
      </w:pPr>
      <w:r>
        <w:rPr>
          <w:b/>
          <w:bCs/>
        </w:rPr>
        <w:t xml:space="preserve">Attention</w:t>
      </w:r>
      <w:r>
        <w:t xml:space="preserve"> </w:t>
      </w:r>
      <w:r>
        <w:t xml:space="preserve">- Une erreur commune sur la date de la rupture du contrat de travail (ex. : fixée 3 jours trop tôt), ne cause pas en elle-même la nullité de la rupture conventionnelle. En revanche, lorsque les juges sont saisis, ils réctifient la date de la rupture et en tire les conséquences que cela implique (ex. : rappel de salaire) (cass. soc. 8 juillet 2015, n° 14-10139, BC V n° 39).</w:t>
      </w:r>
    </w:p>
    <w:p>
      <w:pPr>
        <w:pStyle w:val="Compact"/>
        <w:numPr>
          <w:ilvl w:val="0"/>
          <w:numId w:val="1001"/>
        </w:numPr>
      </w:pPr>
      <w:bookmarkStart w:id="17" w:name="fn7"/>
      <w:r>
        <w:t xml:space="preserve">[7]</w:t>
      </w:r>
      <w:bookmarkEnd w:id="17"/>
      <w:r>
        <w:t xml:space="preserve"> </w:t>
      </w:r>
      <w:r>
        <w:t xml:space="preserve">Si l'employeur souhaite renoncer à l'application de la clause de non concurrence dans le cadre d'une rupture conventionnelle, le délai de renonciation dont il dispose commence à courir à compter de la date de la rupture du contrat de travail prévue par la convention de rupture conventionnelle (cass. soc. 29 janvier 2014, n° 12-22116, BC V n° 35).</w:t>
      </w:r>
    </w:p>
    <w:p>
      <w:pPr>
        <w:numPr>
          <w:ilvl w:val="0"/>
          <w:numId w:val="1001"/>
        </w:numPr>
      </w:pPr>
      <w:bookmarkStart w:id="18" w:name="fn8"/>
      <w:r>
        <w:t xml:space="preserve">[8]</w:t>
      </w:r>
      <w:bookmarkEnd w:id="18"/>
      <w:r>
        <w:t xml:space="preserve"> </w:t>
      </w:r>
      <w:r>
        <w:t xml:space="preserve">Le montant de l'indemnité de rupture conventionnelle doit être au moins égal à celui prévu pour l'indemnité légale de licenciement (c. trav. art. L. 1237-13). L’indemnité légale de licenciement n’est versée qu’aux salariés ayant au moins 8 mois d’ancienneté dans l’entreprise pour les licenciements notifiés depuis le 24.09.2017 (un an d’ancienneté, avant cette date) (c. trav. art. L. 1234-9). L’administration estime que l’indemnité légale est quand même due en cas de rupture conventionnelle concernant un salarié ayant une ancienneté inférieure, mais au prorata du nombre de mois de présence du salarié dans l’entreprise (circ. DGT 2009-4 du 17 mars 2009). Les intéressés ont donc toujours droit à une indemnité minimale de rupture conventionnelle homologuée.</w:t>
      </w:r>
      <w:r>
        <w:br/>
      </w:r>
      <w:r>
        <w:t xml:space="preserve">Si l'indemnité conventionnelle de licenciement est plus élevée que l'indemnité légale, l'indemnité de rupture conventionnelle doit être au moins égale à l'indemnité conventionnelle de licenciement (avenant n° 4 du 18 mai 2009 à l'ANI du 11 janvier 2008 sur la modernisation du marché du travail ; arrêté du 26 novembre 2009, JO du 27).</w:t>
      </w:r>
      <w:r>
        <w:br/>
      </w:r>
    </w:p>
    <w:p>
      <w:pPr>
        <w:numPr>
          <w:ilvl w:val="0"/>
          <w:numId w:val="1000"/>
        </w:numPr>
      </w:pPr>
      <w:r>
        <w:rPr>
          <w:b/>
          <w:bCs/>
        </w:rPr>
        <w:t xml:space="preserve">Attention -</w:t>
      </w:r>
      <w:r>
        <w:t xml:space="preserve"> </w:t>
      </w:r>
      <w:r>
        <w:t xml:space="preserve">L’avenant s’applique (</w:t>
      </w:r>
      <w:hyperlink r:id="rId19">
        <w:r>
          <w:rPr>
            <w:rStyle w:val="Hyperlink"/>
          </w:rPr>
          <w:t xml:space="preserve">instr. DGT 2009-25 du 8 décembre 2009</w:t>
        </w:r>
      </w:hyperlink>
      <w:r>
        <w:t xml:space="preserve">) :</w:t>
      </w:r>
    </w:p>
    <w:p>
      <w:pPr>
        <w:numPr>
          <w:ilvl w:val="0"/>
          <w:numId w:val="1000"/>
        </w:numPr>
      </w:pPr>
      <w:r>
        <w:t xml:space="preserve">  - depuis le 17 juin 2009 (lendemain du dépôt de l’avenant), pour les employeurs adhérents des syndicats patronaux signataires (MEDEF, CGPME, UPA) ;</w:t>
      </w:r>
    </w:p>
    <w:p>
      <w:pPr>
        <w:numPr>
          <w:ilvl w:val="0"/>
          <w:numId w:val="1000"/>
        </w:numPr>
      </w:pPr>
      <w:r>
        <w:t xml:space="preserve">  - depuis le 28 novembre 2009, pour les autres employeurs entrant dans le champ de l’ANI du 11 janvier 2008 (sachant que l’arrêté indique que l’extension produit ses effets à dater de la publication au JO, soit depuis le 27 novembre).</w:t>
      </w:r>
    </w:p>
    <w:p>
      <w:pPr>
        <w:numPr>
          <w:ilvl w:val="0"/>
          <w:numId w:val="1000"/>
        </w:numPr>
      </w:pPr>
      <w:r>
        <w:br/>
      </w:r>
      <w:r>
        <w:t xml:space="preserve">Si la convention collective prévoit deux types d'indemnité conventionnelle de licenciement (une en cas de licenciement pour motif personnel, une en cas de licenciement économique), l'indemnité de rupture conventionnelle doit être au moins égale, selon le cas, à (instr. DGT 2009-25 du 8 décembre 2009) :</w:t>
      </w:r>
    </w:p>
    <w:p>
      <w:pPr>
        <w:numPr>
          <w:ilvl w:val="0"/>
          <w:numId w:val="1000"/>
        </w:numPr>
      </w:pPr>
      <w:r>
        <w:t xml:space="preserve">  - l'indemnité légale si au moins une des indemnités conventionnelles est inférieure à l'indemnité légale ;</w:t>
      </w:r>
    </w:p>
    <w:p>
      <w:pPr>
        <w:numPr>
          <w:ilvl w:val="0"/>
          <w:numId w:val="1000"/>
        </w:numPr>
      </w:pPr>
      <w:r>
        <w:t xml:space="preserve">  - l'indemnité conventionnelle la plus faible si les deux indemnités conventionnelles sont supérieures à l'indemnité légale.</w:t>
      </w:r>
    </w:p>
    <w:p>
      <w:pPr>
        <w:numPr>
          <w:ilvl w:val="0"/>
          <w:numId w:val="1000"/>
        </w:numPr>
      </w:pPr>
      <w:r>
        <w:br/>
      </w:r>
    </w:p>
    <w:p>
      <w:pPr>
        <w:numPr>
          <w:ilvl w:val="0"/>
          <w:numId w:val="1000"/>
        </w:numPr>
      </w:pPr>
      <w:r>
        <w:rPr>
          <w:b/>
          <w:bCs/>
        </w:rPr>
        <w:t xml:space="preserve">Attention</w:t>
      </w:r>
      <w:r>
        <w:t xml:space="preserve"> </w:t>
      </w:r>
      <w:r>
        <w:t xml:space="preserve">- La stipulation d’une indemnité dont le montant est inférieur à l’indemnité légale de licenciement n’entraîne pas en soi la nullité de la convention de rupture. En revanche, lorsque les juges sont saisis, ils procèdent à une condamnation pécuniaire correspondant à un complément d'indemnité de rupture conventionnelle (cass. soc. 8 juillet 2015, n° 14-10139, BC V n° 39).</w:t>
      </w:r>
    </w:p>
    <w:p>
      <w:pPr>
        <w:pStyle w:val="Compact"/>
        <w:numPr>
          <w:ilvl w:val="0"/>
          <w:numId w:val="1001"/>
        </w:numPr>
      </w:pPr>
      <w:bookmarkStart w:id="20" w:name="fn9"/>
      <w:r>
        <w:t xml:space="preserve">[9]</w:t>
      </w:r>
      <w:bookmarkEnd w:id="20"/>
      <w:r>
        <w:t xml:space="preserve"> </w:t>
      </w:r>
      <w:r>
        <w:t xml:space="preserve">Le droit de rétractation est exercé sous la forme d'une lettre adressée par tout moyen attestant de sa date de réception par l'autre partie. Il est conseillé d'indiquer le(s) moyen(s) à disposition (ex. : LRAR).</w:t>
      </w:r>
      <w:r>
        <w:br/>
      </w:r>
      <w:r>
        <w:t xml:space="preserve">La rétractation doit nécessairement être envoyée à l’autre partie signataire de la rupture conventionnelle. Elle n’est donc pas valable si elle est adressée à l’administration (cass. soc. 6 octobre 2015, n° 14-17539, BC V n° 297).</w:t>
      </w:r>
      <w:r>
        <w:br/>
      </w:r>
      <w:r>
        <w:t xml:space="preserve">Il faut se placer à la date d’envoi du courrier de rétractation pour apprécier si le délai a été respecter, peu important qu’il soit reçu par l'autre après ce délai de 15 jours. Dans cette affaire, le salarié avait envoyé le courrier le dernier jour du délai de rétractation (cass. soc. 14 février 2018, n° 17-10035 FSPB).</w:t>
      </w:r>
    </w:p>
    <w:p>
      <w:pPr>
        <w:pStyle w:val="Compact"/>
        <w:numPr>
          <w:ilvl w:val="0"/>
          <w:numId w:val="1001"/>
        </w:numPr>
      </w:pPr>
      <w:bookmarkStart w:id="21" w:name="fn10"/>
      <w:r>
        <w:t xml:space="preserve">[10]</w:t>
      </w:r>
      <w:bookmarkEnd w:id="21"/>
      <w:r>
        <w:t xml:space="preserve"> </w:t>
      </w:r>
      <w:r>
        <w:t xml:space="preserve">Une demande d’homologation adressée au DIRECCTE avant la fin du délai de rétractation (même le dernier jour) n’est pas valable et la rupture conventionnelle ne peut pas être homologuée (cass. soc. 14 janvier 2016, n° 14-26220 FSPB).</w:t>
      </w:r>
    </w:p>
    <w:p>
      <w:pPr>
        <w:pStyle w:val="Compact"/>
        <w:numPr>
          <w:ilvl w:val="0"/>
          <w:numId w:val="1001"/>
        </w:numPr>
      </w:pPr>
      <w:bookmarkStart w:id="22" w:name="fn11"/>
      <w:r>
        <w:t xml:space="preserve">[11]</w:t>
      </w:r>
      <w:bookmarkEnd w:id="22"/>
      <w:r>
        <w:t xml:space="preserve"> </w:t>
      </w:r>
      <w:r>
        <w:t xml:space="preserve">La convention de rupture conventionnelle (de même que le formulaire de demande d'homologation de la rupture conventionnelle) doit être établie, a minima, en double exemplaire. L'employeur doit remettre l'un des exemplaires au salarié (cass. soc. 6 février 2013, n° 11-27000, BC V n° 29 ; cass. soc. 7 mars 2018, n° 17-10963 D). A notre sens, il est préférable de prévoir un troisième exemplaire : celui adressé au DIRECCTE, ou à l'inspecteur du travail s'il s'agit d'un salarié protégé.</w:t>
      </w:r>
    </w:p>
    <w:p>
      <w:pPr>
        <w:pStyle w:val="FirstParagraph"/>
      </w:pPr>
      <w:r>
        <w:t xml:space="preserve">NB:Droits de reproduction et de diffusion réservés © Groupe Revue Fiduciaire 2019. Usage strictement personnel. L'utilisateur du site reconnaît avoir pris connaissance de la licence de droits d'usage, en accepter et en respecter les dispositions.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001">
    <w:lvl w:ilvl="0">
      <w:start w:val="1"/>
      <w:numFmt w:val="bullet"/>
      <w:lvlText w:val="•"/>
      <w:lvlJc w:val="left"/>
      <w:suff w:val="space"/>
      <w:pPr>
        <w:ind w:left="0" w:firstLine="0"/>
      </w:pPr>
    </w:lvl>
  </w:abstractNum>
  <w:abstractNum w:abstractNumId="9002">
    <w:lvl w:ilvl="0">
      <w:start w:val="1"/>
      <w:numFmt w:val="bullet"/>
      <w:lvlText w:val="-"/>
      <w:lvlJc w:val="left"/>
      <w:suff w:val="space"/>
      <w:pPr>
        <w:ind w:left="0" w:firstLine="0"/>
      </w:pPr>
    </w:lvl>
  </w:abstractNum>
  <w:abstractNum w:abstractNumId="9003">
    <w:lvl w:ilvl="0">
      <w:start w:val="1"/>
      <w:numFmt w:val="bullet"/>
      <w:lvlText w:val="-"/>
      <w:lvlJc w:val="left"/>
      <w:suff w:val="space"/>
      <w:pPr>
        <w:ind w:left="360" w:firstLine="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9001">
    <w:abstractNumId w:val="9001"/>
  </w:num>
  <w:num w:numId="9002">
    <w:abstractNumId w:val="9002"/>
  </w:num>
  <w:num w:numId="9003">
    <w:abstractNumId w:val="9003"/>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clrSchemeMapping w:accent1="accent1" w:accent2="accent2" w:accent3="accent3" w:accent4="accent4" w:accent5="accent5" w:accent6="accent6" w:bg1="light1" w:bg2="light2" w:followedHyperlink="followedHyperlink" w:hyperlink="hyperlink" w:t1="dark1" w:t2="dark2"/>
  <w:decimalSymbol w:val="."/>
  <w:listSeparator w:val=","/>
  <w:themeFontLang w:val="fr-FR"/>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fr-FR"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1371.xhtml" TargetMode="External" /><Relationship Type="http://schemas.openxmlformats.org/officeDocument/2006/relationships/hyperlink" Id="rId19" Target="http://www.travail-emploi-sante.gouv.fr/publications/picts/bo/30122009/TRE_20090012_0110_0001.pdf" TargetMode="External" /></Relationships>
</file>

<file path=word/_rels/footnotes.xml.rels><?xml version="1.0" encoding="UTF-8"?><Relationships xmlns="http://schemas.openxmlformats.org/package/2006/relationships"><Relationship Type="http://schemas.openxmlformats.org/officeDocument/2006/relationships/hyperlink" Id="rId13" Target="1371.xhtml" TargetMode="External" /><Relationship Type="http://schemas.openxmlformats.org/officeDocument/2006/relationships/hyperlink" Id="rId19" Target="http://www.travail-emploi-sante.gouv.fr/publications/picts/bo/30122009/TRE_20090012_0110_0001.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Rupture conventionnelle individuelle – Modèle Revue Fiduciaire</dc:title>
  <dc:language>fr-FR</dc:language>
  <dc:creator>Groupe Revue Fiduciaire</dc:creator>
  <cp:keywords/>
  <dcterms:created xsi:type="dcterms:W3CDTF">2026-06-15T04:11:03Z</dcterms:created>
  <dcterms:modified xsi:type="dcterms:W3CDTF">2026-06-15T04:11:03Z</dcterms:modified>
</cp:coreProperties>
</file>

<file path=docProps/custom.xml><?xml version="1.0" encoding="utf-8"?>
<Properties xmlns="http://schemas.openxmlformats.org/officeDocument/2006/custom-properties" xmlns:vt="http://schemas.openxmlformats.org/officeDocument/2006/docPropsVTypes"/>
</file>